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344" w:rsidRPr="00980C9C" w:rsidRDefault="00CD0344">
      <w:pPr>
        <w:pStyle w:val="Heading5"/>
        <w:rPr>
          <w:rFonts w:ascii="Arial" w:hAnsi="Arial"/>
          <w:sz w:val="24"/>
          <w:u w:val="none"/>
        </w:rPr>
      </w:pPr>
      <w:r w:rsidRPr="00980C9C">
        <w:rPr>
          <w:rFonts w:ascii="Arial" w:hAnsi="Arial"/>
          <w:sz w:val="24"/>
          <w:u w:val="none"/>
        </w:rPr>
        <w:t xml:space="preserve">Meeting of the </w:t>
      </w:r>
      <w:r w:rsidR="0070453A" w:rsidRPr="00980C9C">
        <w:rPr>
          <w:rFonts w:ascii="Arial" w:hAnsi="Arial"/>
          <w:sz w:val="24"/>
          <w:u w:val="none"/>
        </w:rPr>
        <w:t>County Council</w:t>
      </w:r>
    </w:p>
    <w:p w:rsidR="00CD0344" w:rsidRPr="00980C9C" w:rsidRDefault="0070453A">
      <w:pPr>
        <w:pStyle w:val="Heading5"/>
        <w:rPr>
          <w:rFonts w:ascii="Arial" w:hAnsi="Arial"/>
          <w:sz w:val="24"/>
          <w:u w:val="none"/>
        </w:rPr>
      </w:pPr>
      <w:r w:rsidRPr="00980C9C">
        <w:rPr>
          <w:rFonts w:ascii="Arial" w:hAnsi="Arial"/>
          <w:sz w:val="24"/>
          <w:u w:val="none"/>
        </w:rPr>
        <w:t xml:space="preserve">Meeting to be held on </w:t>
      </w:r>
      <w:r w:rsidR="00534682">
        <w:rPr>
          <w:rFonts w:ascii="Arial" w:hAnsi="Arial"/>
          <w:sz w:val="24"/>
          <w:u w:val="none"/>
        </w:rPr>
        <w:t>25 February</w:t>
      </w:r>
      <w:r w:rsidRPr="008E49D4">
        <w:rPr>
          <w:rFonts w:ascii="Arial" w:hAnsi="Arial"/>
          <w:sz w:val="24"/>
          <w:u w:val="none"/>
        </w:rPr>
        <w:t xml:space="preserve"> 20</w:t>
      </w:r>
      <w:r w:rsidR="001E5E17" w:rsidRPr="008E49D4">
        <w:rPr>
          <w:rFonts w:ascii="Arial" w:hAnsi="Arial"/>
          <w:sz w:val="24"/>
          <w:u w:val="none"/>
        </w:rPr>
        <w:t>1</w:t>
      </w:r>
      <w:r w:rsidR="00372217">
        <w:rPr>
          <w:rFonts w:ascii="Arial" w:hAnsi="Arial"/>
          <w:sz w:val="24"/>
          <w:u w:val="none"/>
        </w:rPr>
        <w:t>6</w:t>
      </w:r>
    </w:p>
    <w:p w:rsidR="00CD0344" w:rsidRPr="00980C9C" w:rsidRDefault="00CD0344"/>
    <w:p w:rsidR="00CD0344" w:rsidRPr="00980C9C" w:rsidRDefault="00CD0344">
      <w:r w:rsidRPr="00980C9C">
        <w:t>Report submitted by</w:t>
      </w:r>
      <w:r w:rsidR="009543DB">
        <w:t>:</w:t>
      </w:r>
      <w:r w:rsidR="00F37258">
        <w:t xml:space="preserve"> </w:t>
      </w:r>
      <w:r w:rsidR="009543DB">
        <w:t>T</w:t>
      </w:r>
      <w:r w:rsidR="00F37258">
        <w:t>he</w:t>
      </w:r>
      <w:r w:rsidRPr="00980C9C">
        <w:t xml:space="preserve"> </w:t>
      </w:r>
      <w:r w:rsidR="00372217">
        <w:t>Interim Director of Financial Resources</w:t>
      </w:r>
    </w:p>
    <w:p w:rsidR="00CD0344" w:rsidRPr="00980C9C" w:rsidRDefault="00CD0344"/>
    <w:p w:rsidR="00CD0344" w:rsidRDefault="00522E51">
      <w:r>
        <w:rPr>
          <w:noProof/>
        </w:rPr>
        <mc:AlternateContent>
          <mc:Choice Requires="wps">
            <w:drawing>
              <wp:anchor distT="0" distB="0" distL="114300" distR="114300" simplePos="0" relativeHeight="251657728" behindDoc="0" locked="0" layoutInCell="1" allowOverlap="1">
                <wp:simplePos x="0" y="0"/>
                <wp:positionH relativeFrom="column">
                  <wp:posOffset>4943475</wp:posOffset>
                </wp:positionH>
                <wp:positionV relativeFrom="paragraph">
                  <wp:posOffset>0</wp:posOffset>
                </wp:positionV>
                <wp:extent cx="771525" cy="26670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266700"/>
                        </a:xfrm>
                        <a:prstGeom prst="rect">
                          <a:avLst/>
                        </a:prstGeom>
                        <a:solidFill>
                          <a:srgbClr val="FFFFFF"/>
                        </a:solidFill>
                        <a:ln w="9525">
                          <a:solidFill>
                            <a:srgbClr val="000000"/>
                          </a:solidFill>
                          <a:miter lim="800000"/>
                          <a:headEnd/>
                          <a:tailEnd/>
                        </a:ln>
                      </wps:spPr>
                      <wps:txbx>
                        <w:txbxContent>
                          <w:p w:rsidR="00BD6BD4" w:rsidRPr="008B5F45" w:rsidRDefault="00BD6BD4" w:rsidP="005D49DE">
                            <w:pPr>
                              <w:rPr>
                                <w:b/>
                                <w:sz w:val="28"/>
                                <w:szCs w:val="28"/>
                              </w:rPr>
                            </w:pPr>
                            <w:r w:rsidRPr="008B5F45">
                              <w:rPr>
                                <w:b/>
                                <w:sz w:val="28"/>
                                <w:szCs w:val="28"/>
                              </w:rPr>
                              <w:t>Part A</w:t>
                            </w:r>
                          </w:p>
                          <w:p w:rsidR="00BD6BD4" w:rsidRDefault="00BD6BD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9.25pt;margin-top:0;width:60.75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">
                <v:textbox>
                  <w:txbxContent>
                    <w:p w:rsidR="00BD6BD4" w:rsidRPr="008B5F45" w:rsidRDefault="00BD6BD4" w:rsidP="005D49DE">
                      <w:pPr>
                        <w:rPr>
                          <w:b/>
                          <w:sz w:val="28"/>
                          <w:szCs w:val="28"/>
                        </w:rPr>
                      </w:pPr>
                      <w:r w:rsidRPr="008B5F45">
                        <w:rPr>
                          <w:b/>
                          <w:sz w:val="28"/>
                          <w:szCs w:val="28"/>
                        </w:rPr>
                        <w:t>Part A</w:t>
                      </w:r>
                    </w:p>
                    <w:p w:rsidR="00BD6BD4" w:rsidRDefault="00BD6BD4"/>
                  </w:txbxContent>
                </v:textbox>
              </v:shape>
            </w:pict>
          </mc:Fallback>
        </mc:AlternateContent>
      </w:r>
      <w:r w:rsidR="005D49DE">
        <w:tab/>
      </w:r>
      <w:r w:rsidR="005D49DE">
        <w:tab/>
      </w:r>
      <w:r w:rsidR="005D49DE">
        <w:tab/>
      </w:r>
      <w:r w:rsidR="005D49DE">
        <w:tab/>
      </w:r>
      <w:r w:rsidR="005D49DE">
        <w:tab/>
      </w:r>
      <w:r w:rsidR="005D49DE">
        <w:tab/>
      </w:r>
      <w:r w:rsidR="005D49DE">
        <w:tab/>
      </w:r>
      <w:r w:rsidR="005D49DE">
        <w:tab/>
      </w:r>
      <w:r w:rsidR="005D49DE">
        <w:tab/>
      </w:r>
      <w:r w:rsidR="005D49DE">
        <w:tab/>
      </w:r>
      <w:r w:rsidR="005D49DE">
        <w:tab/>
      </w:r>
    </w:p>
    <w:p w:rsidR="005D49DE" w:rsidRPr="00980C9C" w:rsidRDefault="005D49DE"/>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tblGrid>
      <w:tr w:rsidR="00CD0344" w:rsidRPr="00980C9C">
        <w:tc>
          <w:tcPr>
            <w:tcW w:w="3402" w:type="dxa"/>
          </w:tcPr>
          <w:p w:rsidR="00CD0344" w:rsidRPr="00980C9C" w:rsidRDefault="00CD0344">
            <w:pPr>
              <w:pStyle w:val="BodyText"/>
            </w:pPr>
            <w:bookmarkStart w:id="0" w:name="_GoBack"/>
            <w:bookmarkEnd w:id="0"/>
            <w:r w:rsidRPr="00980C9C">
              <w:t>Electoral Division affected:</w:t>
            </w:r>
          </w:p>
          <w:p w:rsidR="00CD0344" w:rsidRPr="00980C9C" w:rsidRDefault="00CD0344">
            <w:pPr>
              <w:ind w:right="-250"/>
              <w:rPr>
                <w:u w:val="single"/>
              </w:rPr>
            </w:pPr>
            <w:r w:rsidRPr="00980C9C">
              <w:t>All</w:t>
            </w:r>
          </w:p>
        </w:tc>
      </w:tr>
    </w:tbl>
    <w:p w:rsidR="00CD0344" w:rsidRPr="00980C9C" w:rsidRDefault="00CD0344">
      <w:pPr>
        <w:rPr>
          <w:b/>
          <w:u w:val="single"/>
        </w:rPr>
      </w:pPr>
    </w:p>
    <w:p w:rsidR="00CD0344" w:rsidRPr="00980C9C" w:rsidRDefault="00CD0344">
      <w:pPr>
        <w:ind w:left="709" w:hanging="709"/>
      </w:pPr>
      <w:r w:rsidRPr="00980C9C">
        <w:rPr>
          <w:b/>
        </w:rPr>
        <w:t>Financial Threshold for Key Decisions</w:t>
      </w:r>
    </w:p>
    <w:p w:rsidR="00CD0344" w:rsidRPr="00980C9C" w:rsidRDefault="00CD0344">
      <w:pPr>
        <w:pStyle w:val="Header"/>
        <w:rPr>
          <w:rFonts w:ascii="Arial" w:hAnsi="Arial"/>
        </w:rPr>
      </w:pPr>
    </w:p>
    <w:p w:rsidR="00CD0344" w:rsidRPr="00980C9C" w:rsidRDefault="00CD0344">
      <w:pPr>
        <w:ind w:right="-873"/>
      </w:pPr>
      <w:r w:rsidRPr="00980C9C">
        <w:t xml:space="preserve">Contact for further information: </w:t>
      </w:r>
    </w:p>
    <w:p w:rsidR="00CD0344" w:rsidRPr="00980C9C" w:rsidRDefault="00372217">
      <w:pPr>
        <w:ind w:right="-873"/>
      </w:pPr>
      <w:r>
        <w:t>Paul Dobson, 01772 534725</w:t>
      </w:r>
      <w:r w:rsidR="00CD0344" w:rsidRPr="00980C9C">
        <w:t xml:space="preserve">, </w:t>
      </w:r>
      <w:r>
        <w:t>Financial Resources</w:t>
      </w:r>
    </w:p>
    <w:p w:rsidR="00CD0344" w:rsidRPr="00815D1C" w:rsidRDefault="0021698E">
      <w:hyperlink r:id="rId7" w:history="1">
        <w:r w:rsidR="00372217" w:rsidRPr="001256A8">
          <w:rPr>
            <w:rStyle w:val="Hyperlink"/>
          </w:rPr>
          <w:t>paul.dobson@lancashire.gov.uk</w:t>
        </w:r>
      </w:hyperlink>
    </w:p>
    <w:p w:rsidR="00815D1C" w:rsidRPr="00815D1C" w:rsidRDefault="00815D1C">
      <w:pPr>
        <w:rPr>
          <w:highlight w:val="gre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CD0344" w:rsidRPr="00980C9C" w:rsidTr="00372217">
        <w:tc>
          <w:tcPr>
            <w:tcW w:w="9180" w:type="dxa"/>
          </w:tcPr>
          <w:p w:rsidR="00CD0344" w:rsidRPr="00980C9C" w:rsidRDefault="00CD0344" w:rsidP="00372217">
            <w:pPr>
              <w:jc w:val="both"/>
              <w:rPr>
                <w:b/>
                <w:u w:val="single"/>
              </w:rPr>
            </w:pPr>
          </w:p>
          <w:p w:rsidR="00CD0344" w:rsidRPr="00980C9C" w:rsidRDefault="00CD0344" w:rsidP="00372217">
            <w:pPr>
              <w:pStyle w:val="Heading6"/>
              <w:jc w:val="both"/>
              <w:rPr>
                <w:rFonts w:ascii="Arial" w:hAnsi="Arial"/>
                <w:sz w:val="24"/>
              </w:rPr>
            </w:pPr>
            <w:r w:rsidRPr="00980C9C">
              <w:rPr>
                <w:rFonts w:ascii="Arial" w:hAnsi="Arial"/>
                <w:sz w:val="24"/>
              </w:rPr>
              <w:t>Executive Summary</w:t>
            </w:r>
          </w:p>
          <w:p w:rsidR="00CD0344" w:rsidRPr="00980C9C" w:rsidRDefault="00CD0344" w:rsidP="00372217">
            <w:pPr>
              <w:jc w:val="both"/>
              <w:rPr>
                <w:b/>
              </w:rPr>
            </w:pPr>
          </w:p>
          <w:p w:rsidR="00CD0344" w:rsidRPr="00980C9C" w:rsidRDefault="00CD0344" w:rsidP="00372217">
            <w:pPr>
              <w:jc w:val="both"/>
            </w:pPr>
            <w:r w:rsidRPr="00980C9C">
              <w:t xml:space="preserve">The Council is required, each year, to specify the financial threshold above which decisions should be treated as Key Decisions as defined in Standing Order </w:t>
            </w:r>
            <w:r w:rsidR="008E00FE">
              <w:t>25(1)</w:t>
            </w:r>
            <w:r w:rsidRPr="00980C9C">
              <w:t xml:space="preserve">.  </w:t>
            </w:r>
          </w:p>
          <w:p w:rsidR="00CD0344" w:rsidRPr="00980C9C" w:rsidRDefault="00CD0344" w:rsidP="00372217">
            <w:pPr>
              <w:jc w:val="both"/>
              <w:rPr>
                <w:b/>
              </w:rPr>
            </w:pPr>
          </w:p>
          <w:p w:rsidR="00CD0344" w:rsidRPr="00980C9C" w:rsidRDefault="00CD0344" w:rsidP="00372217">
            <w:pPr>
              <w:pStyle w:val="Heading5"/>
              <w:jc w:val="both"/>
              <w:rPr>
                <w:rFonts w:ascii="Arial" w:hAnsi="Arial"/>
                <w:sz w:val="24"/>
                <w:u w:val="none"/>
              </w:rPr>
            </w:pPr>
            <w:r w:rsidRPr="00980C9C">
              <w:rPr>
                <w:rFonts w:ascii="Arial" w:hAnsi="Arial"/>
                <w:sz w:val="24"/>
                <w:u w:val="none"/>
              </w:rPr>
              <w:t>Recommendation</w:t>
            </w:r>
          </w:p>
          <w:p w:rsidR="00CD0344" w:rsidRPr="00980C9C" w:rsidRDefault="00CD0344" w:rsidP="00372217">
            <w:pPr>
              <w:jc w:val="both"/>
            </w:pPr>
          </w:p>
          <w:p w:rsidR="00CD0344" w:rsidRPr="009F2426" w:rsidRDefault="00CD0344" w:rsidP="00372217">
            <w:pPr>
              <w:jc w:val="both"/>
            </w:pPr>
            <w:r w:rsidRPr="00980C9C">
              <w:t>It is recommended that the</w:t>
            </w:r>
            <w:r w:rsidR="00476ED2">
              <w:t xml:space="preserve"> Full</w:t>
            </w:r>
            <w:r w:rsidR="0070453A" w:rsidRPr="00980C9C">
              <w:t xml:space="preserve"> Council</w:t>
            </w:r>
            <w:r w:rsidRPr="00980C9C">
              <w:t xml:space="preserve"> confirm</w:t>
            </w:r>
            <w:r w:rsidR="00476ED2">
              <w:t>s</w:t>
            </w:r>
            <w:r w:rsidRPr="00980C9C">
              <w:t xml:space="preserve"> that the financial threshold for Key Decisions, for the purposes of Standing Order </w:t>
            </w:r>
            <w:r w:rsidR="008E00FE">
              <w:t>25(1)</w:t>
            </w:r>
            <w:r w:rsidRPr="00980C9C">
              <w:t xml:space="preserve">, </w:t>
            </w:r>
            <w:r w:rsidR="00007D93">
              <w:t xml:space="preserve">should </w:t>
            </w:r>
            <w:r w:rsidR="006F091C" w:rsidRPr="009F2426">
              <w:t xml:space="preserve">remain </w:t>
            </w:r>
            <w:r w:rsidR="006F091C" w:rsidRPr="007E4141">
              <w:t>at</w:t>
            </w:r>
            <w:r w:rsidR="00007D93" w:rsidRPr="007E4141">
              <w:t xml:space="preserve"> </w:t>
            </w:r>
            <w:r w:rsidR="00980C9C" w:rsidRPr="007E4141">
              <w:t>£1.</w:t>
            </w:r>
            <w:r w:rsidR="00D57E9F" w:rsidRPr="007E4141">
              <w:t>4</w:t>
            </w:r>
            <w:r w:rsidR="00980C9C" w:rsidRPr="007E4141">
              <w:t>m</w:t>
            </w:r>
            <w:r w:rsidR="00980C9C" w:rsidRPr="009F2426">
              <w:t xml:space="preserve"> for </w:t>
            </w:r>
            <w:r w:rsidRPr="009F2426">
              <w:t>20</w:t>
            </w:r>
            <w:r w:rsidR="006B5C54" w:rsidRPr="009F2426">
              <w:t>1</w:t>
            </w:r>
            <w:r w:rsidR="00372217">
              <w:t>6/17</w:t>
            </w:r>
            <w:r w:rsidRPr="009F2426">
              <w:t>.</w:t>
            </w:r>
          </w:p>
          <w:p w:rsidR="00CD0344" w:rsidRPr="00980C9C" w:rsidRDefault="00CD0344" w:rsidP="00372217">
            <w:pPr>
              <w:jc w:val="both"/>
            </w:pPr>
          </w:p>
        </w:tc>
      </w:tr>
    </w:tbl>
    <w:p w:rsidR="00CD0344" w:rsidRPr="00980C9C" w:rsidRDefault="00CD0344">
      <w:pPr>
        <w:rPr>
          <w:b/>
          <w:u w:val="single"/>
        </w:rPr>
      </w:pPr>
    </w:p>
    <w:p w:rsidR="00CD0344" w:rsidRPr="00980C9C" w:rsidRDefault="00CD0344">
      <w:pPr>
        <w:rPr>
          <w:b/>
        </w:rPr>
      </w:pPr>
      <w:r w:rsidRPr="00980C9C">
        <w:rPr>
          <w:b/>
        </w:rPr>
        <w:t>Background</w:t>
      </w:r>
      <w:r w:rsidR="001D0207">
        <w:rPr>
          <w:b/>
        </w:rPr>
        <w:t xml:space="preserve"> and Advice</w:t>
      </w:r>
    </w:p>
    <w:p w:rsidR="00CD0344" w:rsidRPr="00D421CC" w:rsidRDefault="00CD0344"/>
    <w:p w:rsidR="009543DB" w:rsidRPr="001C7B13" w:rsidRDefault="009543DB" w:rsidP="00372217">
      <w:pPr>
        <w:jc w:val="both"/>
      </w:pPr>
      <w:r w:rsidRPr="001C7B13">
        <w:t>Standing Order 25(1) defines a Key Decision of the Cabinet/Cabinet Member for the purpose of the requirement for the County Council to publish details of a Key Decision at least 28 clear days before the decision is due to be taken.</w:t>
      </w:r>
    </w:p>
    <w:p w:rsidR="009543DB" w:rsidRPr="001C7B13" w:rsidRDefault="009543DB" w:rsidP="00372217">
      <w:pPr>
        <w:jc w:val="both"/>
      </w:pPr>
    </w:p>
    <w:p w:rsidR="009543DB" w:rsidRDefault="009543DB" w:rsidP="00372217">
      <w:pPr>
        <w:pStyle w:val="ListParagraph"/>
        <w:ind w:left="0"/>
        <w:jc w:val="both"/>
      </w:pPr>
      <w:r>
        <w:t>A key decision means an executive decision which is likely:</w:t>
      </w:r>
    </w:p>
    <w:p w:rsidR="009543DB" w:rsidRDefault="009543DB" w:rsidP="00372217">
      <w:pPr>
        <w:pStyle w:val="ListParagraph"/>
        <w:ind w:left="0"/>
        <w:jc w:val="both"/>
      </w:pPr>
    </w:p>
    <w:p w:rsidR="009543DB" w:rsidRDefault="009543DB" w:rsidP="00372217">
      <w:pPr>
        <w:pStyle w:val="BodyTextIndent"/>
        <w:numPr>
          <w:ilvl w:val="0"/>
          <w:numId w:val="2"/>
        </w:numPr>
        <w:spacing w:after="0"/>
        <w:ind w:left="748" w:hanging="748"/>
        <w:jc w:val="both"/>
        <w:rPr>
          <w:rFonts w:cs="Arial"/>
          <w:szCs w:val="24"/>
        </w:rPr>
      </w:pPr>
      <w:r>
        <w:rPr>
          <w:rFonts w:cs="Arial"/>
          <w:szCs w:val="24"/>
        </w:rPr>
        <w:t>to result in the council incurring expenditure which is, or the making of savings which are significant having regard to the council's budget for the service or function which the decision relates; or</w:t>
      </w:r>
    </w:p>
    <w:p w:rsidR="009543DB" w:rsidRPr="009543DB" w:rsidRDefault="009543DB" w:rsidP="00372217">
      <w:pPr>
        <w:pStyle w:val="BodyTextIndent"/>
        <w:spacing w:after="0"/>
        <w:ind w:left="748"/>
        <w:jc w:val="both"/>
        <w:rPr>
          <w:rFonts w:cs="Arial"/>
          <w:szCs w:val="24"/>
        </w:rPr>
      </w:pPr>
    </w:p>
    <w:p w:rsidR="009543DB" w:rsidRDefault="009543DB" w:rsidP="00372217">
      <w:pPr>
        <w:pStyle w:val="BodyTextIndent"/>
        <w:numPr>
          <w:ilvl w:val="0"/>
          <w:numId w:val="2"/>
        </w:numPr>
        <w:spacing w:after="0"/>
        <w:ind w:left="748" w:hanging="748"/>
        <w:jc w:val="both"/>
        <w:rPr>
          <w:rFonts w:cs="Arial"/>
          <w:szCs w:val="24"/>
        </w:rPr>
      </w:pPr>
      <w:r>
        <w:rPr>
          <w:rFonts w:cs="Arial"/>
          <w:szCs w:val="24"/>
        </w:rPr>
        <w:t>to be significant in terms of its effects on communities living or working in an area comprising two or more wards or electoral divisions in the area of the council.</w:t>
      </w:r>
    </w:p>
    <w:p w:rsidR="00CD0344" w:rsidRPr="00D421CC" w:rsidRDefault="00CD0344" w:rsidP="00372217">
      <w:pPr>
        <w:jc w:val="both"/>
      </w:pPr>
    </w:p>
    <w:p w:rsidR="00CD0344" w:rsidRPr="00D421CC" w:rsidRDefault="00E06B4E" w:rsidP="00372217">
      <w:pPr>
        <w:jc w:val="both"/>
      </w:pPr>
      <w:r>
        <w:t>In the case of (a</w:t>
      </w:r>
      <w:r w:rsidR="00CD0344" w:rsidRPr="00D421CC">
        <w:t xml:space="preserve">), </w:t>
      </w:r>
      <w:r>
        <w:t>a</w:t>
      </w:r>
      <w:r w:rsidR="00CD0344" w:rsidRPr="00D421CC">
        <w:t xml:space="preserve"> decision </w:t>
      </w:r>
      <w:r w:rsidR="002E5D2A" w:rsidRPr="00D421CC">
        <w:t>with a</w:t>
      </w:r>
      <w:r w:rsidR="00CD0344" w:rsidRPr="00D421CC">
        <w:t xml:space="preserve"> </w:t>
      </w:r>
      <w:r w:rsidR="002558A5" w:rsidRPr="00D421CC">
        <w:t xml:space="preserve">significant </w:t>
      </w:r>
      <w:r w:rsidR="00CD0344" w:rsidRPr="00D421CC">
        <w:t>financial impact on the County Council</w:t>
      </w:r>
      <w:r w:rsidR="002558A5" w:rsidRPr="00D421CC">
        <w:t xml:space="preserve">, the current </w:t>
      </w:r>
      <w:r w:rsidR="002558A5" w:rsidRPr="009F2426">
        <w:t>threshold is £1.</w:t>
      </w:r>
      <w:r w:rsidR="006F091C" w:rsidRPr="009F2426">
        <w:t>4</w:t>
      </w:r>
      <w:r w:rsidR="002558A5" w:rsidRPr="009F2426">
        <w:t>m</w:t>
      </w:r>
      <w:r w:rsidR="00CD0344" w:rsidRPr="009F2426">
        <w:t>.</w:t>
      </w:r>
      <w:r w:rsidR="00CD0344" w:rsidRPr="00D421CC">
        <w:t xml:space="preserve"> </w:t>
      </w:r>
    </w:p>
    <w:p w:rsidR="00CD0344" w:rsidRPr="007B5FCF" w:rsidRDefault="00CD0344" w:rsidP="00372217">
      <w:pPr>
        <w:jc w:val="both"/>
        <w:rPr>
          <w:highlight w:val="green"/>
        </w:rPr>
      </w:pPr>
    </w:p>
    <w:p w:rsidR="00CD0344" w:rsidRPr="00D421CC" w:rsidRDefault="00CD0344" w:rsidP="00372217">
      <w:pPr>
        <w:jc w:val="both"/>
      </w:pPr>
      <w:r w:rsidRPr="00D421CC">
        <w:t xml:space="preserve">The Council is required, by number </w:t>
      </w:r>
      <w:smartTag w:uri="urn:schemas-microsoft-com:office:smarttags" w:element="metricconverter">
        <w:smartTagPr>
          <w:attr w:name="ProductID" w:val="13 in"/>
        </w:smartTagPr>
        <w:r w:rsidRPr="00D421CC">
          <w:t>1</w:t>
        </w:r>
        <w:r w:rsidR="009C18DB">
          <w:t>3</w:t>
        </w:r>
        <w:r w:rsidRPr="00D421CC">
          <w:t xml:space="preserve"> in</w:t>
        </w:r>
      </w:smartTag>
      <w:r w:rsidRPr="00D421CC">
        <w:t xml:space="preserve"> its list of functions in the Constitution, to “specify, before the beginning of each financial year, the amounts of expenditure and </w:t>
      </w:r>
      <w:r w:rsidRPr="00D421CC">
        <w:lastRenderedPageBreak/>
        <w:t xml:space="preserve">savings that shall be regarded as significant for the purposes of Standing Order </w:t>
      </w:r>
      <w:r w:rsidR="00211634">
        <w:t>25</w:t>
      </w:r>
      <w:r w:rsidR="00E06B4E">
        <w:t xml:space="preserve"> (key decisions</w:t>
      </w:r>
      <w:r w:rsidRPr="00D421CC">
        <w:t xml:space="preserve">).” </w:t>
      </w:r>
    </w:p>
    <w:p w:rsidR="00CD0344" w:rsidRPr="00D421CC" w:rsidRDefault="00CD0344" w:rsidP="00372217">
      <w:pPr>
        <w:jc w:val="both"/>
      </w:pPr>
    </w:p>
    <w:p w:rsidR="00CD0344" w:rsidRPr="007E4141" w:rsidRDefault="009330D7" w:rsidP="00372217">
      <w:pPr>
        <w:jc w:val="both"/>
      </w:pPr>
      <w:r w:rsidRPr="009F2426">
        <w:t xml:space="preserve">The current threshold (£1.4m) was approved by the Full Council </w:t>
      </w:r>
      <w:r w:rsidRPr="00666F39">
        <w:t>in 20</w:t>
      </w:r>
      <w:r w:rsidR="00372217">
        <w:t>15</w:t>
      </w:r>
      <w:r w:rsidRPr="00666F39">
        <w:t>.</w:t>
      </w:r>
      <w:r w:rsidRPr="009F2426">
        <w:t xml:space="preserve">  </w:t>
      </w:r>
      <w:r w:rsidR="004D70E0" w:rsidRPr="00D421CC">
        <w:t xml:space="preserve">The </w:t>
      </w:r>
      <w:r w:rsidR="00372217">
        <w:t xml:space="preserve">Interim Director of Financial Resources </w:t>
      </w:r>
      <w:r w:rsidR="004D70E0" w:rsidRPr="00D421CC">
        <w:t xml:space="preserve">has, in consultation with the Chief Executive, reviewed the financial threshold for key </w:t>
      </w:r>
      <w:r w:rsidR="004D70E0" w:rsidRPr="009F2426">
        <w:t xml:space="preserve">decisions. </w:t>
      </w:r>
      <w:r w:rsidR="00A118EA" w:rsidRPr="009F2426">
        <w:t>The</w:t>
      </w:r>
      <w:r w:rsidR="00A118EA" w:rsidRPr="00D421CC">
        <w:t xml:space="preserve"> recommendation arising from th</w:t>
      </w:r>
      <w:r w:rsidR="004D70E0">
        <w:t>e</w:t>
      </w:r>
      <w:r w:rsidR="00A118EA" w:rsidRPr="00D421CC">
        <w:t xml:space="preserve"> review is that</w:t>
      </w:r>
      <w:r w:rsidR="00D82B6E" w:rsidRPr="00D421CC">
        <w:t xml:space="preserve"> the threshold </w:t>
      </w:r>
      <w:r w:rsidR="00D82B6E" w:rsidRPr="007E4141">
        <w:t xml:space="preserve">should </w:t>
      </w:r>
      <w:r w:rsidR="006F091C" w:rsidRPr="007E4141">
        <w:t>remain at this level</w:t>
      </w:r>
      <w:r w:rsidR="00CD0344" w:rsidRPr="007E4141">
        <w:t>.</w:t>
      </w:r>
      <w:r w:rsidR="00A118EA" w:rsidRPr="007E4141">
        <w:t xml:space="preserve">  It is proposed</w:t>
      </w:r>
      <w:r w:rsidR="00CD0344" w:rsidRPr="007E4141">
        <w:t>, therefo</w:t>
      </w:r>
      <w:r w:rsidR="0070453A" w:rsidRPr="007E4141">
        <w:t>re, that the threshold for 20</w:t>
      </w:r>
      <w:r w:rsidR="006F091C" w:rsidRPr="007E4141">
        <w:t>1</w:t>
      </w:r>
      <w:r w:rsidR="00372217">
        <w:t>6/17</w:t>
      </w:r>
      <w:r w:rsidR="00D82B6E" w:rsidRPr="007E4141">
        <w:t xml:space="preserve"> should </w:t>
      </w:r>
      <w:r w:rsidR="00007D93" w:rsidRPr="007E4141">
        <w:t>be</w:t>
      </w:r>
      <w:r w:rsidR="00D421CC" w:rsidRPr="007E4141">
        <w:t xml:space="preserve"> </w:t>
      </w:r>
      <w:r w:rsidR="00D82B6E" w:rsidRPr="007E4141">
        <w:t>£1.</w:t>
      </w:r>
      <w:r w:rsidR="0012508C" w:rsidRPr="007E4141">
        <w:t>4</w:t>
      </w:r>
      <w:r w:rsidR="00CD0344" w:rsidRPr="007E4141">
        <w:t xml:space="preserve">m.  </w:t>
      </w:r>
    </w:p>
    <w:p w:rsidR="002558A5" w:rsidRPr="00D421CC" w:rsidRDefault="002558A5" w:rsidP="00372217">
      <w:pPr>
        <w:pStyle w:val="Heading1"/>
        <w:jc w:val="both"/>
      </w:pPr>
    </w:p>
    <w:p w:rsidR="00CD0344" w:rsidRPr="00D421CC" w:rsidRDefault="00CD0344">
      <w:pPr>
        <w:pStyle w:val="Heading1"/>
      </w:pPr>
      <w:r w:rsidRPr="00D421CC">
        <w:t>Consultations</w:t>
      </w:r>
    </w:p>
    <w:p w:rsidR="00CD0344" w:rsidRPr="00D421CC" w:rsidRDefault="00CD0344">
      <w:pPr>
        <w:pStyle w:val="Header"/>
        <w:rPr>
          <w:sz w:val="24"/>
        </w:rPr>
      </w:pPr>
    </w:p>
    <w:p w:rsidR="00CD0344" w:rsidRPr="00D421CC" w:rsidRDefault="00CD0344" w:rsidP="00E05879">
      <w:pPr>
        <w:jc w:val="both"/>
      </w:pPr>
      <w:r w:rsidRPr="00D421CC">
        <w:t xml:space="preserve">The </w:t>
      </w:r>
      <w:r w:rsidR="00372217">
        <w:t>Interim Director of Financial Resources</w:t>
      </w:r>
      <w:r w:rsidR="00E06B4E">
        <w:t xml:space="preserve"> has consulted with Legal and Democratic Services</w:t>
      </w:r>
      <w:r w:rsidRPr="00D421CC">
        <w:t>.</w:t>
      </w:r>
    </w:p>
    <w:p w:rsidR="00CD0344" w:rsidRPr="00D421CC" w:rsidRDefault="00CD0344"/>
    <w:p w:rsidR="00CD0344" w:rsidRDefault="00CD0344">
      <w:r w:rsidRPr="00D421CC">
        <w:rPr>
          <w:b/>
        </w:rPr>
        <w:t>Implications</w:t>
      </w:r>
      <w:r w:rsidRPr="00D421CC">
        <w:t xml:space="preserve">: </w:t>
      </w:r>
    </w:p>
    <w:p w:rsidR="0002644D" w:rsidRPr="00D421CC" w:rsidRDefault="0002644D"/>
    <w:p w:rsidR="00CD0344" w:rsidRPr="00D421CC" w:rsidRDefault="00CD0344">
      <w:r w:rsidRPr="00D421CC">
        <w:t>This item has the following implications:</w:t>
      </w:r>
    </w:p>
    <w:p w:rsidR="00CD0344" w:rsidRPr="00D421CC" w:rsidRDefault="00CD0344">
      <w:pPr>
        <w:pStyle w:val="Heading5"/>
        <w:rPr>
          <w:rFonts w:ascii="Arial" w:hAnsi="Arial"/>
          <w:b w:val="0"/>
          <w:sz w:val="24"/>
        </w:rPr>
      </w:pPr>
    </w:p>
    <w:p w:rsidR="00CD0344" w:rsidRPr="0002644D" w:rsidRDefault="0002644D">
      <w:pPr>
        <w:pStyle w:val="Heading5"/>
        <w:rPr>
          <w:rFonts w:ascii="Arial" w:hAnsi="Arial"/>
          <w:sz w:val="24"/>
          <w:u w:val="none"/>
        </w:rPr>
      </w:pPr>
      <w:r>
        <w:rPr>
          <w:rFonts w:ascii="Arial" w:hAnsi="Arial"/>
          <w:sz w:val="24"/>
          <w:u w:val="none"/>
        </w:rPr>
        <w:t>Risk Management</w:t>
      </w:r>
    </w:p>
    <w:p w:rsidR="00CD0344" w:rsidRDefault="00CD0344"/>
    <w:p w:rsidR="0002644D" w:rsidRPr="00D421CC" w:rsidRDefault="0002644D">
      <w:r>
        <w:t>No significant risks have been identified</w:t>
      </w:r>
    </w:p>
    <w:p w:rsidR="0002644D" w:rsidRDefault="0002644D">
      <w:pPr>
        <w:pStyle w:val="Heading5"/>
        <w:rPr>
          <w:rFonts w:ascii="Arial" w:hAnsi="Arial"/>
          <w:sz w:val="24"/>
          <w:u w:val="none"/>
        </w:rPr>
      </w:pPr>
    </w:p>
    <w:p w:rsidR="00CD0344" w:rsidRPr="00D421CC" w:rsidRDefault="00CD0344">
      <w:pPr>
        <w:pStyle w:val="Heading5"/>
        <w:rPr>
          <w:rFonts w:ascii="Arial" w:hAnsi="Arial"/>
          <w:sz w:val="24"/>
          <w:u w:val="none"/>
        </w:rPr>
      </w:pPr>
      <w:r w:rsidRPr="00D421CC">
        <w:rPr>
          <w:rFonts w:ascii="Arial" w:hAnsi="Arial"/>
          <w:sz w:val="24"/>
          <w:u w:val="none"/>
        </w:rPr>
        <w:t>Local Government (Access to Information) Act 1985</w:t>
      </w:r>
    </w:p>
    <w:p w:rsidR="00CD0344" w:rsidRPr="00D421CC" w:rsidRDefault="00CD0344">
      <w:pPr>
        <w:pStyle w:val="Heading5"/>
        <w:rPr>
          <w:rFonts w:ascii="Arial" w:hAnsi="Arial"/>
          <w:sz w:val="24"/>
          <w:u w:val="none"/>
        </w:rPr>
      </w:pPr>
      <w:r w:rsidRPr="00D421CC">
        <w:rPr>
          <w:rFonts w:ascii="Arial" w:hAnsi="Arial"/>
          <w:sz w:val="24"/>
          <w:u w:val="none"/>
        </w:rPr>
        <w:t>List of Background Papers</w:t>
      </w:r>
    </w:p>
    <w:p w:rsidR="00CD0344" w:rsidRPr="00D421CC" w:rsidRDefault="00CD0344"/>
    <w:tbl>
      <w:tblPr>
        <w:tblW w:w="0" w:type="auto"/>
        <w:tblLayout w:type="fixed"/>
        <w:tblLook w:val="0000" w:firstRow="0" w:lastRow="0" w:firstColumn="0" w:lastColumn="0" w:noHBand="0" w:noVBand="0"/>
      </w:tblPr>
      <w:tblGrid>
        <w:gridCol w:w="3227"/>
        <w:gridCol w:w="2775"/>
        <w:gridCol w:w="2895"/>
      </w:tblGrid>
      <w:tr w:rsidR="00CD0344" w:rsidRPr="00D421CC">
        <w:trPr>
          <w:trHeight w:val="113"/>
        </w:trPr>
        <w:tc>
          <w:tcPr>
            <w:tcW w:w="3227" w:type="dxa"/>
          </w:tcPr>
          <w:p w:rsidR="00CD0344" w:rsidRPr="00D421CC" w:rsidRDefault="00CD0344">
            <w:pPr>
              <w:pStyle w:val="Heading7"/>
              <w:rPr>
                <w:rFonts w:ascii="Arial" w:hAnsi="Arial"/>
                <w:sz w:val="24"/>
                <w:u w:val="none"/>
              </w:rPr>
            </w:pPr>
            <w:r w:rsidRPr="00D421CC">
              <w:rPr>
                <w:rFonts w:ascii="Arial" w:hAnsi="Arial"/>
                <w:sz w:val="24"/>
                <w:u w:val="none"/>
              </w:rPr>
              <w:t>Paper</w:t>
            </w:r>
          </w:p>
        </w:tc>
        <w:tc>
          <w:tcPr>
            <w:tcW w:w="2775" w:type="dxa"/>
          </w:tcPr>
          <w:p w:rsidR="00CD0344" w:rsidRPr="00D421CC" w:rsidRDefault="00CD0344">
            <w:pPr>
              <w:pStyle w:val="Heading7"/>
              <w:rPr>
                <w:rFonts w:ascii="Arial" w:hAnsi="Arial"/>
                <w:sz w:val="24"/>
                <w:u w:val="none"/>
              </w:rPr>
            </w:pPr>
            <w:r w:rsidRPr="00D421CC">
              <w:rPr>
                <w:rFonts w:ascii="Arial" w:hAnsi="Arial"/>
                <w:sz w:val="24"/>
                <w:u w:val="none"/>
              </w:rPr>
              <w:t>Date</w:t>
            </w:r>
          </w:p>
        </w:tc>
        <w:tc>
          <w:tcPr>
            <w:tcW w:w="2895" w:type="dxa"/>
          </w:tcPr>
          <w:p w:rsidR="00CD0344" w:rsidRPr="00D421CC" w:rsidRDefault="00CD0344">
            <w:pPr>
              <w:pStyle w:val="Heading7"/>
              <w:rPr>
                <w:rFonts w:ascii="Arial" w:hAnsi="Arial"/>
                <w:sz w:val="24"/>
                <w:u w:val="none"/>
              </w:rPr>
            </w:pPr>
            <w:r w:rsidRPr="00D421CC">
              <w:rPr>
                <w:rFonts w:ascii="Arial" w:hAnsi="Arial"/>
                <w:sz w:val="24"/>
                <w:u w:val="none"/>
              </w:rPr>
              <w:t>Contact/Directorate/Ext</w:t>
            </w:r>
          </w:p>
        </w:tc>
      </w:tr>
      <w:tr w:rsidR="00CD0344" w:rsidRPr="00D421CC">
        <w:trPr>
          <w:trHeight w:val="541"/>
        </w:trPr>
        <w:tc>
          <w:tcPr>
            <w:tcW w:w="3227" w:type="dxa"/>
            <w:vAlign w:val="center"/>
          </w:tcPr>
          <w:p w:rsidR="00CD0344" w:rsidRPr="00D421CC" w:rsidRDefault="00CD0344">
            <w:r w:rsidRPr="00D421CC">
              <w:t>LCC Constitution</w:t>
            </w:r>
          </w:p>
        </w:tc>
        <w:tc>
          <w:tcPr>
            <w:tcW w:w="2775" w:type="dxa"/>
            <w:vAlign w:val="center"/>
          </w:tcPr>
          <w:p w:rsidR="00CD0344" w:rsidRPr="00D421CC" w:rsidRDefault="00CD0344"/>
        </w:tc>
        <w:tc>
          <w:tcPr>
            <w:tcW w:w="2895" w:type="dxa"/>
            <w:vAlign w:val="center"/>
          </w:tcPr>
          <w:p w:rsidR="00CD0344" w:rsidRPr="00D421CC" w:rsidRDefault="0002644D">
            <w:r>
              <w:t>Chris Mather</w:t>
            </w:r>
            <w:r w:rsidR="003377E1">
              <w:t>, Office of the Chief Executive 01772 5</w:t>
            </w:r>
            <w:r w:rsidR="00CD0344" w:rsidRPr="00D421CC">
              <w:t>3</w:t>
            </w:r>
            <w:r>
              <w:t>559</w:t>
            </w:r>
          </w:p>
        </w:tc>
      </w:tr>
      <w:tr w:rsidR="00CD0344">
        <w:tc>
          <w:tcPr>
            <w:tcW w:w="8897" w:type="dxa"/>
            <w:gridSpan w:val="3"/>
          </w:tcPr>
          <w:p w:rsidR="00D421CC" w:rsidRPr="00D421CC" w:rsidRDefault="00D421CC" w:rsidP="00D421CC">
            <w:pPr>
              <w:rPr>
                <w:lang w:eastAsia="en-US"/>
              </w:rPr>
            </w:pPr>
          </w:p>
          <w:p w:rsidR="00CD0344" w:rsidRPr="00D421CC" w:rsidRDefault="00CD0344">
            <w:pPr>
              <w:pStyle w:val="Heading7"/>
              <w:rPr>
                <w:rFonts w:ascii="Arial" w:hAnsi="Arial"/>
                <w:b/>
                <w:sz w:val="24"/>
                <w:u w:val="none"/>
              </w:rPr>
            </w:pPr>
            <w:r w:rsidRPr="00D421CC">
              <w:rPr>
                <w:rFonts w:ascii="Arial" w:hAnsi="Arial"/>
                <w:b/>
                <w:sz w:val="24"/>
                <w:u w:val="none"/>
              </w:rPr>
              <w:t>Reason for inclusion in Part II, if appropriate</w:t>
            </w:r>
          </w:p>
          <w:p w:rsidR="00CD0344" w:rsidRPr="00D421CC" w:rsidRDefault="00CD0344"/>
          <w:p w:rsidR="00CD0344" w:rsidRDefault="00CD0344">
            <w:r w:rsidRPr="00D421CC">
              <w:t>N/A</w:t>
            </w:r>
          </w:p>
          <w:p w:rsidR="00CD0344" w:rsidRDefault="00CD0344"/>
        </w:tc>
      </w:tr>
    </w:tbl>
    <w:p w:rsidR="00CD0344" w:rsidRDefault="00CD0344"/>
    <w:p w:rsidR="00CD0344" w:rsidRDefault="00CD0344">
      <w:pPr>
        <w:rPr>
          <w:sz w:val="16"/>
        </w:rPr>
      </w:pPr>
    </w:p>
    <w:sectPr w:rsidR="00CD0344" w:rsidSect="00DF5E82">
      <w:footerReference w:type="default" r:id="rId8"/>
      <w:footerReference w:type="first" r:id="rId9"/>
      <w:type w:val="continuous"/>
      <w:pgSz w:w="11907" w:h="16840" w:code="9"/>
      <w:pgMar w:top="1440" w:right="1440" w:bottom="1440" w:left="1440" w:header="720" w:footer="306" w:gutter="0"/>
      <w:paperSrc w:first="7" w:other="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7CF" w:rsidRDefault="00F547CF">
      <w:r>
        <w:separator/>
      </w:r>
    </w:p>
  </w:endnote>
  <w:endnote w:type="continuationSeparator" w:id="0">
    <w:p w:rsidR="00F547CF" w:rsidRDefault="00F54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Univers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BD6BD4">
      <w:tc>
        <w:tcPr>
          <w:tcW w:w="9243" w:type="dxa"/>
          <w:tcBorders>
            <w:top w:val="nil"/>
            <w:left w:val="nil"/>
            <w:bottom w:val="nil"/>
            <w:right w:val="nil"/>
          </w:tcBorders>
        </w:tcPr>
        <w:p w:rsidR="00BD6BD4" w:rsidRDefault="00BD6BD4">
          <w:pPr>
            <w:pStyle w:val="Footer"/>
            <w:tabs>
              <w:tab w:val="clear" w:pos="4153"/>
            </w:tabs>
            <w:ind w:right="-45"/>
            <w:jc w:val="right"/>
          </w:pPr>
        </w:p>
      </w:tc>
    </w:tr>
  </w:tbl>
  <w:p w:rsidR="00BD6BD4" w:rsidRDefault="00BD6BD4">
    <w:pPr>
      <w:pStyle w:val="Footer"/>
      <w:tabs>
        <w:tab w:val="clear" w:pos="4153"/>
      </w:tabs>
      <w:ind w:right="-45"/>
      <w:jc w:val="right"/>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BD6BD4">
      <w:tc>
        <w:tcPr>
          <w:tcW w:w="9243" w:type="dxa"/>
          <w:tcBorders>
            <w:top w:val="nil"/>
            <w:left w:val="nil"/>
            <w:bottom w:val="nil"/>
            <w:right w:val="nil"/>
          </w:tcBorders>
        </w:tcPr>
        <w:p w:rsidR="00BD6BD4" w:rsidRDefault="00BD6BD4" w:rsidP="00E06B4E">
          <w:pPr>
            <w:pStyle w:val="Footer"/>
            <w:tabs>
              <w:tab w:val="clear" w:pos="4153"/>
            </w:tabs>
            <w:ind w:right="-45"/>
            <w:jc w:val="right"/>
          </w:pPr>
          <w:r>
            <w:rPr>
              <w:noProof/>
              <w:lang w:eastAsia="en-GB"/>
            </w:rPr>
            <w:drawing>
              <wp:inline distT="0" distB="0" distL="0" distR="0">
                <wp:extent cx="1257300" cy="628650"/>
                <wp:effectExtent l="19050" t="0" r="0" b="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srcRect/>
                        <a:stretch>
                          <a:fillRect/>
                        </a:stretch>
                      </pic:blipFill>
                      <pic:spPr bwMode="auto">
                        <a:xfrm>
                          <a:off x="0" y="0"/>
                          <a:ext cx="1257300" cy="628650"/>
                        </a:xfrm>
                        <a:prstGeom prst="rect">
                          <a:avLst/>
                        </a:prstGeom>
                        <a:noFill/>
                        <a:ln w="9525">
                          <a:noFill/>
                          <a:miter lim="800000"/>
                          <a:headEnd/>
                          <a:tailEnd/>
                        </a:ln>
                      </pic:spPr>
                    </pic:pic>
                  </a:graphicData>
                </a:graphic>
              </wp:inline>
            </w:drawing>
          </w:r>
        </w:p>
      </w:tc>
    </w:tr>
  </w:tbl>
  <w:p w:rsidR="00BD6BD4" w:rsidRDefault="00BD6BD4">
    <w:pPr>
      <w:pStyle w:val="Footer"/>
      <w:tabs>
        <w:tab w:val="clear" w:pos="4153"/>
      </w:tabs>
      <w:ind w:right="-4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7CF" w:rsidRDefault="00F547CF">
      <w:r>
        <w:separator/>
      </w:r>
    </w:p>
  </w:footnote>
  <w:footnote w:type="continuationSeparator" w:id="0">
    <w:p w:rsidR="00F547CF" w:rsidRDefault="00F547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EC3FA7"/>
    <w:multiLevelType w:val="singleLevel"/>
    <w:tmpl w:val="78B2B286"/>
    <w:lvl w:ilvl="0">
      <w:start w:val="1"/>
      <w:numFmt w:val="lowerLetter"/>
      <w:lvlText w:val="(%1)"/>
      <w:lvlJc w:val="left"/>
      <w:pPr>
        <w:tabs>
          <w:tab w:val="num" w:pos="720"/>
        </w:tabs>
        <w:ind w:left="720" w:hanging="720"/>
      </w:pPr>
      <w:rPr>
        <w:rFonts w:hint="default"/>
      </w:rPr>
    </w:lvl>
  </w:abstractNum>
  <w:abstractNum w:abstractNumId="1" w15:restartNumberingAfterBreak="0">
    <w:nsid w:val="6F555DB9"/>
    <w:multiLevelType w:val="hybridMultilevel"/>
    <w:tmpl w:val="E62CB8B6"/>
    <w:lvl w:ilvl="0" w:tplc="5E0C6FE4">
      <w:start w:val="1"/>
      <w:numFmt w:val="lowerLetter"/>
      <w:lvlText w:val="(%1)"/>
      <w:lvlJc w:val="left"/>
      <w:pPr>
        <w:ind w:left="2166" w:hanging="363"/>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843"/>
    <w:rsid w:val="00007D93"/>
    <w:rsid w:val="000156BD"/>
    <w:rsid w:val="00015B04"/>
    <w:rsid w:val="00021ADD"/>
    <w:rsid w:val="0002644D"/>
    <w:rsid w:val="0005165D"/>
    <w:rsid w:val="000679B8"/>
    <w:rsid w:val="00080801"/>
    <w:rsid w:val="000B23E3"/>
    <w:rsid w:val="000B53E3"/>
    <w:rsid w:val="00105BAF"/>
    <w:rsid w:val="0011727E"/>
    <w:rsid w:val="0012508C"/>
    <w:rsid w:val="00157D45"/>
    <w:rsid w:val="001773C0"/>
    <w:rsid w:val="001A0BBB"/>
    <w:rsid w:val="001A0D3D"/>
    <w:rsid w:val="001B0BF3"/>
    <w:rsid w:val="001D0207"/>
    <w:rsid w:val="001E5E17"/>
    <w:rsid w:val="001F54B8"/>
    <w:rsid w:val="00211634"/>
    <w:rsid w:val="0021698E"/>
    <w:rsid w:val="002558A5"/>
    <w:rsid w:val="002914D7"/>
    <w:rsid w:val="002B5263"/>
    <w:rsid w:val="002E5D2A"/>
    <w:rsid w:val="002F290E"/>
    <w:rsid w:val="002F2B42"/>
    <w:rsid w:val="003036F4"/>
    <w:rsid w:val="003167B8"/>
    <w:rsid w:val="0032147C"/>
    <w:rsid w:val="003377E1"/>
    <w:rsid w:val="0034690F"/>
    <w:rsid w:val="00353952"/>
    <w:rsid w:val="00360415"/>
    <w:rsid w:val="00372217"/>
    <w:rsid w:val="00383682"/>
    <w:rsid w:val="003A3B89"/>
    <w:rsid w:val="003C7E8D"/>
    <w:rsid w:val="003E03D7"/>
    <w:rsid w:val="00405729"/>
    <w:rsid w:val="004150E7"/>
    <w:rsid w:val="00420130"/>
    <w:rsid w:val="0044750E"/>
    <w:rsid w:val="00471FE9"/>
    <w:rsid w:val="00476ED2"/>
    <w:rsid w:val="00496A7A"/>
    <w:rsid w:val="004C28C3"/>
    <w:rsid w:val="004D44A2"/>
    <w:rsid w:val="004D70E0"/>
    <w:rsid w:val="00501BF0"/>
    <w:rsid w:val="00522E51"/>
    <w:rsid w:val="00534682"/>
    <w:rsid w:val="005D49DE"/>
    <w:rsid w:val="005E0084"/>
    <w:rsid w:val="00617919"/>
    <w:rsid w:val="00636D6F"/>
    <w:rsid w:val="00665750"/>
    <w:rsid w:val="00666F39"/>
    <w:rsid w:val="00682729"/>
    <w:rsid w:val="0069024C"/>
    <w:rsid w:val="00692414"/>
    <w:rsid w:val="006B5C54"/>
    <w:rsid w:val="006C2A93"/>
    <w:rsid w:val="006C39D4"/>
    <w:rsid w:val="006E0C5A"/>
    <w:rsid w:val="006F091C"/>
    <w:rsid w:val="006F7637"/>
    <w:rsid w:val="00701FBD"/>
    <w:rsid w:val="007027CF"/>
    <w:rsid w:val="0070453A"/>
    <w:rsid w:val="0072204F"/>
    <w:rsid w:val="007255CA"/>
    <w:rsid w:val="007515DA"/>
    <w:rsid w:val="00754329"/>
    <w:rsid w:val="0078111B"/>
    <w:rsid w:val="00792843"/>
    <w:rsid w:val="007B5FCF"/>
    <w:rsid w:val="007C4216"/>
    <w:rsid w:val="007E4141"/>
    <w:rsid w:val="00815D1C"/>
    <w:rsid w:val="0082197F"/>
    <w:rsid w:val="008232C8"/>
    <w:rsid w:val="008569EB"/>
    <w:rsid w:val="00861B7C"/>
    <w:rsid w:val="008A00BF"/>
    <w:rsid w:val="008C17DE"/>
    <w:rsid w:val="008D4CCA"/>
    <w:rsid w:val="008E00FE"/>
    <w:rsid w:val="008E49D4"/>
    <w:rsid w:val="00924ECB"/>
    <w:rsid w:val="009330D7"/>
    <w:rsid w:val="00934FE7"/>
    <w:rsid w:val="009543DB"/>
    <w:rsid w:val="00964753"/>
    <w:rsid w:val="00974325"/>
    <w:rsid w:val="00977C6F"/>
    <w:rsid w:val="00980C9C"/>
    <w:rsid w:val="009A4131"/>
    <w:rsid w:val="009C18DB"/>
    <w:rsid w:val="009C7A0B"/>
    <w:rsid w:val="009E0C3C"/>
    <w:rsid w:val="009F2426"/>
    <w:rsid w:val="00A118EA"/>
    <w:rsid w:val="00A60295"/>
    <w:rsid w:val="00A62224"/>
    <w:rsid w:val="00A66465"/>
    <w:rsid w:val="00A967DC"/>
    <w:rsid w:val="00AD5B46"/>
    <w:rsid w:val="00AE64F1"/>
    <w:rsid w:val="00B47FFA"/>
    <w:rsid w:val="00B57F16"/>
    <w:rsid w:val="00B61C25"/>
    <w:rsid w:val="00B7770D"/>
    <w:rsid w:val="00BA5D3A"/>
    <w:rsid w:val="00BD6BD4"/>
    <w:rsid w:val="00CD0344"/>
    <w:rsid w:val="00D3106C"/>
    <w:rsid w:val="00D421CC"/>
    <w:rsid w:val="00D51C31"/>
    <w:rsid w:val="00D57E9F"/>
    <w:rsid w:val="00D82B6E"/>
    <w:rsid w:val="00DB1241"/>
    <w:rsid w:val="00DE4987"/>
    <w:rsid w:val="00DF5E82"/>
    <w:rsid w:val="00E03F7C"/>
    <w:rsid w:val="00E05879"/>
    <w:rsid w:val="00E06B4E"/>
    <w:rsid w:val="00E7470C"/>
    <w:rsid w:val="00E75FA1"/>
    <w:rsid w:val="00E967E9"/>
    <w:rsid w:val="00EA555B"/>
    <w:rsid w:val="00ED5231"/>
    <w:rsid w:val="00F03268"/>
    <w:rsid w:val="00F21684"/>
    <w:rsid w:val="00F37258"/>
    <w:rsid w:val="00F547CF"/>
    <w:rsid w:val="00FE48C5"/>
    <w:rsid w:val="00FF51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81"/>
    <o:shapelayout v:ext="edit">
      <o:idmap v:ext="edit" data="1"/>
    </o:shapelayout>
  </w:shapeDefaults>
  <w:decimalSymbol w:val="."/>
  <w:listSeparator w:val=","/>
  <w15:docId w15:val="{6AC3C176-935E-4821-9ABB-117EEA6B3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E82"/>
    <w:rPr>
      <w:rFonts w:ascii="Arial" w:hAnsi="Arial"/>
      <w:sz w:val="24"/>
    </w:rPr>
  </w:style>
  <w:style w:type="paragraph" w:styleId="Heading1">
    <w:name w:val="heading 1"/>
    <w:basedOn w:val="Normal"/>
    <w:next w:val="Normal"/>
    <w:qFormat/>
    <w:rsid w:val="00DF5E82"/>
    <w:pPr>
      <w:keepNext/>
      <w:outlineLvl w:val="0"/>
    </w:pPr>
    <w:rPr>
      <w:b/>
      <w:lang w:eastAsia="en-US"/>
    </w:rPr>
  </w:style>
  <w:style w:type="paragraph" w:styleId="Heading5">
    <w:name w:val="heading 5"/>
    <w:basedOn w:val="Normal"/>
    <w:next w:val="Normal"/>
    <w:qFormat/>
    <w:rsid w:val="00DF5E82"/>
    <w:pPr>
      <w:keepNext/>
      <w:outlineLvl w:val="4"/>
    </w:pPr>
    <w:rPr>
      <w:rFonts w:ascii="Univers" w:hAnsi="Univers"/>
      <w:b/>
      <w:sz w:val="22"/>
      <w:u w:val="single"/>
      <w:lang w:eastAsia="en-US"/>
    </w:rPr>
  </w:style>
  <w:style w:type="paragraph" w:styleId="Heading6">
    <w:name w:val="heading 6"/>
    <w:basedOn w:val="Normal"/>
    <w:next w:val="Normal"/>
    <w:qFormat/>
    <w:rsid w:val="00DF5E82"/>
    <w:pPr>
      <w:keepNext/>
      <w:outlineLvl w:val="5"/>
    </w:pPr>
    <w:rPr>
      <w:rFonts w:ascii="Univers" w:hAnsi="Univers"/>
      <w:b/>
      <w:sz w:val="22"/>
      <w:lang w:eastAsia="en-US"/>
    </w:rPr>
  </w:style>
  <w:style w:type="paragraph" w:styleId="Heading7">
    <w:name w:val="heading 7"/>
    <w:basedOn w:val="Normal"/>
    <w:next w:val="Normal"/>
    <w:qFormat/>
    <w:rsid w:val="00DF5E82"/>
    <w:pPr>
      <w:keepNext/>
      <w:outlineLvl w:val="6"/>
    </w:pPr>
    <w:rPr>
      <w:rFonts w:ascii="Univers" w:hAnsi="Univers"/>
      <w:sz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5E82"/>
    <w:rPr>
      <w:rFonts w:ascii="Universal" w:hAnsi="Universal"/>
      <w:sz w:val="22"/>
      <w:lang w:eastAsia="en-US"/>
    </w:rPr>
  </w:style>
  <w:style w:type="paragraph" w:styleId="BodyText">
    <w:name w:val="Body Text"/>
    <w:basedOn w:val="Normal"/>
    <w:rsid w:val="00DF5E82"/>
    <w:rPr>
      <w:lang w:eastAsia="en-US"/>
    </w:rPr>
  </w:style>
  <w:style w:type="paragraph" w:styleId="Footer">
    <w:name w:val="footer"/>
    <w:basedOn w:val="Normal"/>
    <w:rsid w:val="00DF5E82"/>
    <w:pPr>
      <w:tabs>
        <w:tab w:val="center" w:pos="4153"/>
        <w:tab w:val="right" w:pos="8306"/>
      </w:tabs>
    </w:pPr>
    <w:rPr>
      <w:sz w:val="22"/>
      <w:lang w:eastAsia="en-US"/>
    </w:rPr>
  </w:style>
  <w:style w:type="character" w:styleId="PageNumber">
    <w:name w:val="page number"/>
    <w:basedOn w:val="DefaultParagraphFont"/>
    <w:rsid w:val="00DF5E82"/>
  </w:style>
  <w:style w:type="paragraph" w:styleId="BalloonText">
    <w:name w:val="Balloon Text"/>
    <w:basedOn w:val="Normal"/>
    <w:semiHidden/>
    <w:rsid w:val="00DF5E82"/>
    <w:rPr>
      <w:rFonts w:ascii="Tahoma" w:hAnsi="Tahoma" w:cs="Tahoma"/>
      <w:sz w:val="16"/>
      <w:szCs w:val="16"/>
    </w:rPr>
  </w:style>
  <w:style w:type="character" w:styleId="Hyperlink">
    <w:name w:val="Hyperlink"/>
    <w:basedOn w:val="DefaultParagraphFont"/>
    <w:uiPriority w:val="99"/>
    <w:unhideWhenUsed/>
    <w:rsid w:val="00815D1C"/>
    <w:rPr>
      <w:color w:val="0000FF"/>
      <w:u w:val="single"/>
    </w:rPr>
  </w:style>
  <w:style w:type="paragraph" w:styleId="BodyTextIndent">
    <w:name w:val="Body Text Indent"/>
    <w:basedOn w:val="Normal"/>
    <w:link w:val="BodyTextIndentChar"/>
    <w:uiPriority w:val="99"/>
    <w:semiHidden/>
    <w:unhideWhenUsed/>
    <w:rsid w:val="009543DB"/>
    <w:pPr>
      <w:spacing w:after="120"/>
      <w:ind w:left="283"/>
    </w:pPr>
  </w:style>
  <w:style w:type="character" w:customStyle="1" w:styleId="BodyTextIndentChar">
    <w:name w:val="Body Text Indent Char"/>
    <w:basedOn w:val="DefaultParagraphFont"/>
    <w:link w:val="BodyTextIndent"/>
    <w:uiPriority w:val="99"/>
    <w:semiHidden/>
    <w:rsid w:val="009543DB"/>
    <w:rPr>
      <w:rFonts w:ascii="Arial" w:hAnsi="Arial"/>
      <w:sz w:val="24"/>
    </w:rPr>
  </w:style>
  <w:style w:type="paragraph" w:styleId="ListParagraph">
    <w:name w:val="List Paragraph"/>
    <w:basedOn w:val="Normal"/>
    <w:uiPriority w:val="34"/>
    <w:qFormat/>
    <w:rsid w:val="009543DB"/>
    <w:pPr>
      <w:widowControl w:val="0"/>
      <w:autoSpaceDE w:val="0"/>
      <w:autoSpaceDN w:val="0"/>
      <w:ind w:left="720"/>
      <w:contextualSpacing/>
    </w:pPr>
    <w:rPr>
      <w:rFonts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aul.dobson@lanca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Meeting of the Full Council</vt:lpstr>
    </vt:vector>
  </TitlesOfParts>
  <Company> </Company>
  <LinksUpToDate>false</LinksUpToDate>
  <CharactersWithSpaces>2716</CharactersWithSpaces>
  <SharedDoc>false</SharedDoc>
  <HLinks>
    <vt:vector size="6" baseType="variant">
      <vt:variant>
        <vt:i4>7077961</vt:i4>
      </vt:variant>
      <vt:variant>
        <vt:i4>0</vt:i4>
      </vt:variant>
      <vt:variant>
        <vt:i4>0</vt:i4>
      </vt:variant>
      <vt:variant>
        <vt:i4>5</vt:i4>
      </vt:variant>
      <vt:variant>
        <vt:lpwstr>mailto:Steve.freeman@lancashire.gov.uk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Full Council</dc:title>
  <dc:subject/>
  <dc:creator>rdfjl1</dc:creator>
  <cp:keywords/>
  <dc:description/>
  <cp:lastModifiedBy>Mulligan, Janet</cp:lastModifiedBy>
  <cp:revision>3</cp:revision>
  <cp:lastPrinted>2016-02-25T13:02:00Z</cp:lastPrinted>
  <dcterms:created xsi:type="dcterms:W3CDTF">2016-02-25T16:16:00Z</dcterms:created>
  <dcterms:modified xsi:type="dcterms:W3CDTF">2016-02-25T16:19:00Z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